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Leksand kommunfullmäktige</w:t>
      </w:r>
    </w:p>
    <w:p>
      <w:pPr>
        <w:pStyle w:val="Heading1"/>
      </w:pPr>
      <w:r>
        <w:t xml:space="preserve">Snabbare bygglov för turismföretag vid Siljan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Leksand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Leksands företagsklimat rankas 142/290 (Svenskt Näringsliv 2025). Långa handläggningstider hämmar turismutveckling vid Siljan. Enklare och snabbare processer stärker lokalt företagande och sysselsättning.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Leksand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tidsgaranti på max 6 veckor för bygglovsansökningar från turismföretag.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inrätta en dedikerad handläggare för turismärenden.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digitalisera hela bygglovsprocessen med e-tjänst.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handläggningstider för turismärenden.</w:t>
      </w:r>
    </w:p>
    <w:p>
      <w:pPr>
        <w:spacing w:before="360"/>
      </w:pPr>
    </w:p>
    <w:p>
      <w:r>
        <w:t xml:space="preserve">Leksand,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Leksand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2026-07-14T04:11:18.908Z</dcterms:created>
  <dcterms:modified xsi:type="dcterms:W3CDTF">2026-07-14T04:11:18.908Z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